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об основных результатах экспертно-аналитического мероприятия «Проведение финансовой экспертизы отчета об исполнении</w:t>
      </w:r>
    </w:p>
    <w:p>
      <w:pPr>
        <w:pStyle w:val="Normal"/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бюджета Бутурлинского муниципального округа Нижегородской области</w:t>
      </w:r>
    </w:p>
    <w:p>
      <w:pPr>
        <w:pStyle w:val="Normal"/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1 полугодие 2025 года»</w:t>
      </w:r>
    </w:p>
    <w:p>
      <w:pPr>
        <w:pStyle w:val="Normal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>
        <w:rPr>
          <w:sz w:val="26"/>
          <w:szCs w:val="26"/>
        </w:rPr>
        <w:t>Отчет об исполнении бюджета за 1 полугодие 2025 года утвержден Постановлением администрации Бутурлинского муниципального округа Нижегородской области от 30 июля 2025 года №1016</w:t>
      </w:r>
      <w:r>
        <w:rPr>
          <w:color w:val="000000"/>
          <w:sz w:val="26"/>
          <w:szCs w:val="26"/>
        </w:rPr>
        <w:t xml:space="preserve"> в соответствии с требованиями статьи 264.2 Бюджетного кодекса РФ и представлен в контрольно-счетную инспекц</w:t>
      </w:r>
      <w:r>
        <w:rPr>
          <w:color w:val="000000"/>
          <w:sz w:val="26"/>
          <w:szCs w:val="26"/>
          <w:shd w:fill="auto" w:val="clear"/>
        </w:rPr>
        <w:t>ию 31.07.2025 года (№Сл-108-685135/25).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Включенные в Отчет данные соответствуют Отчету об исполнении бюджета Бутурлинског</w:t>
      </w:r>
      <w:r>
        <w:rPr>
          <w:color w:val="000000"/>
          <w:sz w:val="26"/>
          <w:szCs w:val="26"/>
          <w:shd w:fill="auto" w:val="clear"/>
        </w:rPr>
        <w:t xml:space="preserve">о муниципального округа по состоянию на 01.07.2025 года (ф.0503317).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Расхождений данных бюджетной отчетности и отчета по исполнению бюджета за 1 полугодие 2025 года не установлено.</w:t>
      </w:r>
    </w:p>
    <w:p>
      <w:pPr>
        <w:pStyle w:val="Normal"/>
        <w:tabs>
          <w:tab w:val="clear" w:pos="708"/>
          <w:tab w:val="left" w:pos="0" w:leader="none"/>
          <w:tab w:val="center" w:pos="5102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pacing w:val="-1"/>
          <w:sz w:val="26"/>
          <w:szCs w:val="26"/>
          <w:shd w:fill="auto" w:val="clear"/>
        </w:rPr>
        <w:t xml:space="preserve">         </w:t>
      </w:r>
      <w:r>
        <w:rPr>
          <w:color w:val="000000"/>
          <w:spacing w:val="-1"/>
          <w:sz w:val="26"/>
          <w:szCs w:val="26"/>
          <w:shd w:fill="auto" w:val="clear"/>
        </w:rPr>
        <w:t>Первоначально бюджет Бутурли</w:t>
      </w:r>
      <w:r>
        <w:rPr>
          <w:color w:val="000000"/>
          <w:spacing w:val="-1"/>
          <w:sz w:val="26"/>
          <w:szCs w:val="26"/>
        </w:rPr>
        <w:t xml:space="preserve">нского </w:t>
      </w:r>
      <w:r>
        <w:rPr>
          <w:color w:val="000000"/>
          <w:sz w:val="26"/>
          <w:szCs w:val="26"/>
        </w:rPr>
        <w:t>муниципального округа на 2025 год утвержден решением Совета депутатов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09.12.2024 № 80 «О бюджете Бутурлинского муниципального округа Нижегородской области на </w:t>
      </w:r>
      <w:r>
        <w:rPr>
          <w:sz w:val="26"/>
          <w:szCs w:val="26"/>
        </w:rPr>
        <w:t>2025 год и плановый период 2026 и 2027 годов»</w:t>
      </w:r>
      <w:r>
        <w:rPr>
          <w:color w:val="000000"/>
          <w:sz w:val="26"/>
          <w:szCs w:val="26"/>
        </w:rPr>
        <w:t>: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1) объём доходов в сумме 1 105 561,6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тыс. рублей;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2) объём расходов в сумме 1 105 561,6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тыс. рублей;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3) размер дефицита в сумме 0,0 тыс. рублей.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mes New Roman" w:hAnsi="Times New Roman"/>
          <w:sz w:val="26"/>
          <w:szCs w:val="26"/>
        </w:rPr>
      </w:pPr>
      <w:r>
        <w:rPr>
          <w:color w:val="030000"/>
          <w:sz w:val="26"/>
          <w:szCs w:val="26"/>
        </w:rPr>
        <w:t xml:space="preserve">             </w:t>
      </w:r>
      <w:r>
        <w:rPr>
          <w:sz w:val="26"/>
          <w:szCs w:val="26"/>
        </w:rPr>
        <w:t>В течение отчетного периода в бюджет округа были внесены изменения, в том числе путем внесения изменений в бюджетную роспись, в результате которых доходная часть бюджета увеличилась на 109 779,7 тыс. руб. и составила 1 215 341,3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тыс. рублей, расходная часть бюджета увеличилась на 151 893,9 тыс. руб. и составили 1 257 455,5</w:t>
      </w:r>
      <w:r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руб., дефицит бюджета — 42 114,2 тыс. руб.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Формирование плановых назначений основных параметров бюджета на 01.07.2025 представлено в таблице № 1: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Таблица № 1, тыс. рублей</w:t>
      </w:r>
    </w:p>
    <w:tbl>
      <w:tblPr>
        <w:tblStyle w:val="af9"/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0"/>
        <w:gridCol w:w="1926"/>
        <w:gridCol w:w="1629"/>
        <w:gridCol w:w="1814"/>
      </w:tblGrid>
      <w:tr>
        <w:trPr/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Доходы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Расходы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Профицит (+), Дефицит (-)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Решение о бюджете 09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.12.2024 № 80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1 105 561,60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1 105 561,6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Изменения, внесенные в Решение о бюджете в течение 1 квартала 2025 г.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+102 145,0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+144 259,2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-42 114,2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Решение о бюджете с учетом всех изменений </w:t>
            </w:r>
            <w:r>
              <w:rPr>
                <w:rFonts w:eastAsia="Arial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(в ред. от 16.06.2025 №36)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1 207 706,6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1 249 820,8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-42 114,2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Уточнение плановых назначений без внесения изменений в решение о бюджете*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+7 634,7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+7 634,7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Уточненные плановые назначения на 01.07.2025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1 215 341,3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1 257 455,5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-42 114,2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73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>Характеристика основных показателей исполнения бюджета за 1 полугодие 2025 года пре</w:t>
      </w:r>
      <w:r>
        <w:rPr>
          <w:sz w:val="26"/>
          <w:szCs w:val="26"/>
        </w:rPr>
        <w:t>дставлена в таблице № 2.</w:t>
      </w:r>
    </w:p>
    <w:p>
      <w:pPr>
        <w:pStyle w:val="Normal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2 (тыс. руб.)</w:t>
      </w:r>
    </w:p>
    <w:tbl>
      <w:tblPr>
        <w:tblW w:w="9990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200"/>
        <w:gridCol w:w="1640"/>
        <w:gridCol w:w="1410"/>
        <w:gridCol w:w="1320"/>
        <w:gridCol w:w="794"/>
        <w:gridCol w:w="1358"/>
        <w:gridCol w:w="1267"/>
      </w:tblGrid>
      <w:tr>
        <w:trPr>
          <w:trHeight w:val="720" w:hRule="atLeast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Первоначальный план на 2024 год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(Решение от 09.12.2024 №80)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Уточненный план на 01.07.2025 г.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Отклонение, +,-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Темп роста, %</w:t>
            </w:r>
          </w:p>
        </w:tc>
        <w:tc>
          <w:tcPr>
            <w:tcW w:w="135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b/>
                <w:sz w:val="24"/>
                <w:szCs w:val="24"/>
              </w:rPr>
              <w:t>по состоянию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01.07.2025 г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Процент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 к уточненному плану</w:t>
            </w:r>
            <w:r>
              <w:rPr>
                <w:b/>
                <w:color w:val="000000"/>
                <w:sz w:val="24"/>
                <w:szCs w:val="24"/>
              </w:rPr>
              <w:t>, %</w:t>
            </w:r>
          </w:p>
        </w:tc>
      </w:tr>
      <w:tr>
        <w:trPr>
          <w:trHeight w:val="300" w:hRule="atLeast"/>
        </w:trPr>
        <w:tc>
          <w:tcPr>
            <w:tcW w:w="22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ДОХОДЫ, в том числе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1 105 561,6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1 215 341,3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+109 779,7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605 433,5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49,8</w:t>
            </w:r>
          </w:p>
        </w:tc>
      </w:tr>
      <w:tr>
        <w:trPr>
          <w:trHeight w:val="300" w:hRule="atLeast"/>
        </w:trPr>
        <w:tc>
          <w:tcPr>
            <w:tcW w:w="22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366 825,9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368 624,4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+1 798,5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165 142,1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44,8</w:t>
            </w:r>
          </w:p>
        </w:tc>
      </w:tr>
      <w:tr>
        <w:trPr>
          <w:trHeight w:val="300" w:hRule="atLeast"/>
        </w:trPr>
        <w:tc>
          <w:tcPr>
            <w:tcW w:w="22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738 735,7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846 716,9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+107 981,2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440 291,4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22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1 105 561,6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1 257 455,5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+151 893,9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651 087,6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51,8</w:t>
            </w:r>
          </w:p>
        </w:tc>
      </w:tr>
      <w:tr>
        <w:trPr>
          <w:trHeight w:val="315" w:hRule="atLeast"/>
        </w:trPr>
        <w:tc>
          <w:tcPr>
            <w:tcW w:w="22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Дефицит (профицит)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бюджета (-),(+)</w:t>
            </w:r>
          </w:p>
        </w:tc>
        <w:tc>
          <w:tcPr>
            <w:tcW w:w="164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-42 114,2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58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45 654,1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BodyTextIndent2"/>
        <w:spacing w:lineRule="auto" w:line="240" w:before="0" w:after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Бюджет Бутурлинского муниципального округа за 1 полугодие 2025 года исполнен: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доходам в сумме 605 433,5 тыс. руб., что составляет 49,8% от общего годового планируемого объема;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расходам в сумме 651 087,6 тыс. руб., или 51,8% от общего годового планируемого объема.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 результатам исполнения бюджета за 1 полугодие 2025 года дефицит бюджета составил 45 654,1</w:t>
      </w:r>
      <w:r>
        <w:rPr>
          <w:sz w:val="26"/>
          <w:szCs w:val="26"/>
        </w:rPr>
        <w:t xml:space="preserve"> тыс. руб. 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 аналогичный период 2024 года: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доходам в сумме 586 174,1 тыс. руб., что составляет 45,5% от общего годового планируемого объема;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расходам в сумме 604 032,7 тыс. руб., или 44,4% от общего годового планируемого объема.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 результатам исполнения бюджета за 1 полугодия 2024 года дефицит бюджета составил 17 858,7 тыс. руб. 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 xml:space="preserve">В соответствии с отчётом об исполнении бюджета круга за 1 </w:t>
      </w:r>
      <w:r>
        <w:rPr>
          <w:sz w:val="26"/>
          <w:szCs w:val="26"/>
          <w:lang w:val="ru-RU"/>
        </w:rPr>
        <w:t>полугодие</w:t>
      </w:r>
      <w:r>
        <w:rPr>
          <w:sz w:val="26"/>
          <w:szCs w:val="26"/>
        </w:rPr>
        <w:t xml:space="preserve"> 2025 года уточнённые годовые назначения по доходам составили 1 215 341,3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руб., что на 109 779,7 тыс. руб. или на 9,9% выше утверждённых назначений первоначально. 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Всего за 1 полугодие 2025 года в бюджет округа поступило доходов в сумме 605 433,5 тыс. рублей, из них налоговых и неналоговых доходов 165 142,1 тыс. рублей (27,3% от общей суммы поступивших доходов) и безвозмездные поступления в сумме 440 291,4 тыс. рублей (72,7% общих доходов).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Доходы бюджета округа за 1 полугодие 2025 года исполнены на 49,8% и, по сравнению с соответствующим периодом 2024 года, увеличились на 19 259,4 тыс. рублей. 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Налоговые и неналоговые доходы исполнены на 165 142,1 тыс. руб. (44,8% годового плана). По сравнению с аналогичным периодом 2024 года налоговые и неналоговые доходы увеличились на 6 069,8 тыс. рублей. Безвозмездные поступления исполнены на 440 291,4 тыс. рублей или на 52,0%, по сравнению с 1 полугодием 2024 года увеличились на 13 189,6</w:t>
      </w:r>
      <w:r>
        <w:rPr>
          <w:color w:val="FF38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 рублей.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Основными источниками формирования налоговых и неналоговых доходов местного бюджета в 1 полугодии 2025 года является налог на доходы физических лиц и в общем объеме налоговых и неналоговых доходов составляет 68,3%, а в 1 полугодии 2024 года- 78,6%.</w:t>
      </w:r>
    </w:p>
    <w:p>
      <w:pPr>
        <w:pStyle w:val="Normal"/>
        <w:shd w:val="clear" w:color="auto" w:fill="FFFFFF"/>
        <w:spacing w:before="57" w:after="57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 состоянию на 01.07.2025 года годовые бюджетные назначения по </w:t>
      </w:r>
      <w:r>
        <w:rPr>
          <w:i/>
          <w:color w:val="000000"/>
          <w:sz w:val="26"/>
          <w:szCs w:val="26"/>
        </w:rPr>
        <w:t xml:space="preserve">налогам на доходы  физических лиц </w:t>
      </w:r>
      <w:r>
        <w:rPr>
          <w:color w:val="000000"/>
          <w:sz w:val="26"/>
          <w:szCs w:val="26"/>
        </w:rPr>
        <w:t xml:space="preserve">исполнены на 38,8%% или в сумме 112 851,7 тыс. руб. В 1 полугодии 2025 года сумма поступлений по налогу на 12 225,4 тыс. руб. ниже, чем в аналогичном периоде 2024 года. 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b w:val="false"/>
          <w:bCs w:val="false"/>
          <w:i/>
          <w:color w:val="000000"/>
          <w:sz w:val="26"/>
          <w:szCs w:val="26"/>
        </w:rPr>
        <w:t>Безвозмездные поступления</w:t>
      </w:r>
      <w:r>
        <w:rPr>
          <w:b w:val="false"/>
          <w:bCs w:val="false"/>
          <w:color w:val="000000"/>
          <w:sz w:val="26"/>
          <w:szCs w:val="26"/>
        </w:rPr>
        <w:t xml:space="preserve"> на 01.07.2025 года сложились в объеме 440 291,4 тыс. руб., что составляет 52,0% от уточн</w:t>
      </w:r>
      <w:r>
        <w:rPr>
          <w:color w:val="000000"/>
          <w:sz w:val="26"/>
          <w:szCs w:val="26"/>
        </w:rPr>
        <w:t>енного годового объема бюджетных назначений (846 716,9</w:t>
      </w:r>
      <w:r>
        <w:rPr>
          <w:b/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 рублей).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</w:rPr>
      </w:pPr>
      <w:r>
        <w:rPr>
          <w:b/>
          <w:color w:val="000000"/>
          <w:sz w:val="26"/>
          <w:szCs w:val="26"/>
          <w:shd w:fill="auto" w:val="clear"/>
        </w:rPr>
        <w:t xml:space="preserve">3. </w:t>
      </w:r>
      <w:r>
        <w:rPr>
          <w:color w:val="000000"/>
          <w:sz w:val="26"/>
          <w:szCs w:val="26"/>
          <w:shd w:fill="auto" w:val="clear"/>
        </w:rPr>
        <w:t>По состоянию на 01.07.2025 года бюджетная роспись по расходам утверждена начальником финансового управления в сумме 1 257 455,5</w:t>
      </w:r>
      <w:r>
        <w:rPr>
          <w:bCs/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</w:rPr>
        <w:t xml:space="preserve">тыс. рублей, что соответствует представленному отчету об исполнении бюджета муниципального округа за 1 полугодие 2025 года.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 xml:space="preserve">Первоначально расходы бюджета на 2025 год были утверждены решением Совета депутатов Бутурлинского муниципального округа от 09.12.2024 № 80 «О бюджете Бутурлинского муниципального округа на 2025 год и на плановый период 2026 и 2027 годов» в сумме 1 105 561,6 тыс. руб. 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В течение проверяемого периода были внесены изменения в план текущего года в сумме 151 893,9 тыс. рублей. Фактическое исполнение за 1полугодие 2025 года составляет 651 087,6</w:t>
      </w:r>
      <w:r>
        <w:rPr>
          <w:bCs/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</w:rPr>
        <w:t>тыс. рублей или 51,8% к годовым уточненным плановым назначениям. Расходы бюджета муниципального округа в отчетном периоде по сравнению с соответствующим периодом прошлого года увеличились на 47 054,9 тыс. рублей.</w:t>
      </w:r>
    </w:p>
    <w:p>
      <w:pPr>
        <w:pStyle w:val="Normal"/>
        <w:tabs>
          <w:tab w:val="clear" w:pos="708"/>
          <w:tab w:val="left" w:pos="9900" w:leader="none"/>
        </w:tabs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Основная сумма расходов в 1 полугодии 2025 года направлена на образование – 302 142,6 тыс. руб. или 46,4% от общей суммы расходов бюджета. На национальную экономику в отчетном периоде направлено 118 996,8 тыс. руб. или 18,3% всех расходов.</w:t>
      </w:r>
    </w:p>
    <w:p>
      <w:pPr>
        <w:pStyle w:val="Normal"/>
        <w:tabs>
          <w:tab w:val="clear" w:pos="708"/>
          <w:tab w:val="left" w:pos="9900" w:leader="none"/>
        </w:tabs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Наименьшее исполнение бюджета наблюдается по расходам на охрану окружающей среды — 0,0% от плановых назначений, а также по расходам на общегосударственные вопросы - 38,0%.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В отчетном периоде расходы бюджета осуществлялись в соответствии со структурой и направлениями, предусмотренными в Решении о бюджете на 2025 год.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Формирование расходов бюджета округа на 2025 год осуществлялось в программном формате на основе 18 муниципальных программ Бутурлинского муниципального округа Нижегородской области.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Первоначально </w:t>
      </w:r>
      <w:r>
        <w:rPr>
          <w:bCs/>
          <w:color w:val="000000"/>
          <w:sz w:val="26"/>
          <w:szCs w:val="26"/>
        </w:rPr>
        <w:t xml:space="preserve">расходы бюджета округа на 2025 год предусмотрены в сумме 1 105 561,6 тыс. рублей, из них </w:t>
      </w:r>
      <w:r>
        <w:rPr>
          <w:color w:val="000000"/>
          <w:sz w:val="26"/>
          <w:szCs w:val="26"/>
        </w:rPr>
        <w:t xml:space="preserve">программные расходы бюджета округа (расходы на реализацию муниципальных программ) составляли 1 098 261,8 тыс. рублей или 99,3% от общего объема расходов, непрограммные расходы – 7 299,8 тыс. рублей или 0,7% от общего объема расходов. 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В ходе уточнения плановые назначения были скорректированы и составили 1 257 455,5 тыс. руб., в т.ч. программные расходы бюджета округа — 1 249 179,5 тыс. руб. (99,3% общего объема расходов), не программные расходы — 8 276,0 тыс. рублей (0,7% общего объема расходов). 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Исполнение бюджета округа по расходам, предусмотренным на реализацию муниципальных программ в 1 полугодии 2025 года составило 648 664,5 тыс. рублей или 52,0% от утвержденного бюджета. Расходы по финансированию муниципальных программ за 1 полугодии 2025 года составили 99,6% общего объема расходов бюджета (651 087,6 тыс. руб.). 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>Общий объем расходов бюджета в 1 полугодии 2025 года по непрограммным направлениям деятельности составил 2 423,1 тыс. руб. или 0,4% от общего объема расходов бюджета. Исполнение по непрограммным расходам составило 29,3% уточненного бюджета.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Основная сумма расходов в 1 полугодии 2025 года направлена на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МП «Развитие образования Бутурлинского муниципального округа Нижегородской области» - 285 071,2 тыс. руб. (43,9% в общих программных расходах), МП «Развитие агропромышленного комплекса Бутурлинского муниципального округа Нижегородской области» - 102 882,6 тыс. руб. (15,9% в общих программных расходах).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color w:val="C9211E"/>
        </w:rPr>
      </w:pPr>
      <w:r>
        <w:rPr>
          <w:color w:val="000000"/>
          <w:sz w:val="26"/>
          <w:szCs w:val="26"/>
        </w:rPr>
        <w:t>Наибольшее исполнение расходов бюджета наблюдается по муниципальным программам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«Обеспечение населения Бутурлинского муниципального округа Нижегородской области доступным и комфортным жильем» - 95,2%, «Социальная поддержка граждан Бутурлинского муниципального округа Нижегородской области» - 76,7% плановых назначений, «Развитие агропромышленного комплекса Бутурлинского муниципального района Нижегородской области» — 62,7%, «Обеспечение безопасности жизнедеятельности населения в Бутурлинском муниципального округе Нижегородской области»"</w:t>
      </w:r>
      <w:r>
        <w:rPr>
          <w:color w:val="000000"/>
          <w:sz w:val="26"/>
          <w:szCs w:val="26"/>
        </w:rPr>
        <w:t xml:space="preserve"> - 58,6% плановых назначений.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Наименьшее исполнение расходов  - по программам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«Управление муниципальными финансами Бутурлинского муниципального округа Нижегородской области» - 19,1%, «Развитие социальной и инженерной инфраструктуры Бутурлинского округа» - 23,4%.</w:t>
      </w:r>
      <w:r>
        <w:rPr>
          <w:color w:val="000000"/>
          <w:sz w:val="26"/>
          <w:szCs w:val="26"/>
        </w:rPr>
        <w:t xml:space="preserve"> </w:t>
      </w:r>
    </w:p>
    <w:p>
      <w:pPr>
        <w:pStyle w:val="Normal"/>
        <w:jc w:val="both"/>
        <w:rPr>
          <w:color w:val="C9211E"/>
        </w:rPr>
      </w:pPr>
      <w:r>
        <w:rPr>
          <w:color w:val="C9211E"/>
          <w:sz w:val="26"/>
          <w:szCs w:val="26"/>
        </w:rPr>
        <w:t xml:space="preserve">         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>
        <w:rPr>
          <w:sz w:val="26"/>
          <w:szCs w:val="26"/>
        </w:rPr>
        <w:t xml:space="preserve">Резервный фонд администрации Бутурлинского муниципального округа на 2025 год утвержден решением Совета депутатов от 09.12.2024 № 80 </w:t>
      </w:r>
      <w:r>
        <w:rPr>
          <w:color w:val="000000"/>
          <w:sz w:val="26"/>
          <w:szCs w:val="26"/>
        </w:rPr>
        <w:t xml:space="preserve">«О бюджете Бутурлинского муниципального округа Нижегородской области на </w:t>
      </w:r>
      <w:r>
        <w:rPr>
          <w:sz w:val="26"/>
          <w:szCs w:val="26"/>
        </w:rPr>
        <w:t>2025 год и на плановый период 2026 и 2027 годов</w:t>
      </w:r>
      <w:r>
        <w:rPr>
          <w:color w:val="000000"/>
          <w:sz w:val="26"/>
          <w:szCs w:val="26"/>
        </w:rPr>
        <w:t xml:space="preserve">» в </w:t>
      </w:r>
      <w:r>
        <w:rPr>
          <w:sz w:val="26"/>
          <w:szCs w:val="26"/>
        </w:rPr>
        <w:t>сумме 9 568,6 тыс. рублей. В течении 1 полугодия 2025 года резервный фонд сократился на 2 248,2 тыс.рублей, в том числе за счет: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перераспределения средств резервного фонда в сумме 923,0 тыс.рублей;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выделение средств резервного фонда на закупку Администрацией Бутурлинского муниципального округа аварийно-восстановительных работ на водопроводной скважине, расположенной в с. Яковлево в сумме 1 325,25 тыс.рублей</w:t>
      </w:r>
      <w:r>
        <w:rPr>
          <w:color w:val="000000"/>
          <w:sz w:val="26"/>
          <w:szCs w:val="26"/>
        </w:rPr>
        <w:t xml:space="preserve">. 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ст. 81 Бюджетного кодекса, а также Положения о бюджетном процессе в Бутурлинском муниципальном округе,  размер резервного фонда не ограничивается.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5. </w:t>
      </w:r>
      <w:r>
        <w:rPr>
          <w:color w:val="000000"/>
          <w:sz w:val="26"/>
          <w:szCs w:val="26"/>
        </w:rPr>
        <w:t xml:space="preserve">Решением Совета депутатов Бутурлинского муниципального округа от 09.12.2024 № 80 «О бюджете Бутурлинского муниципального округа Нижегородской области на 2025 год и на плановый период 2026 и 2027 годов» первоначально утвержден сбалансированный по доходам и расходам бюджет округа. В результате внесения изменений в Решение о бюджете Бутурлинского муниципального округа, дефицит бюджета установлен в размере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42 114,2 </w:t>
      </w:r>
      <w:r>
        <w:rPr>
          <w:color w:val="000000"/>
          <w:sz w:val="26"/>
          <w:szCs w:val="26"/>
        </w:rPr>
        <w:t>тыс. рублей (в редакции от 16.06.2025 №36) или 11,4% утвержденного общего годового объема доходов без учета безвозмездных поступлений, что превышает ограничения, установленные ст.92.1 Бюджетного кодекса РФ  в 1,1 раза. На превышение дефицита направлены остатки средств бюджета, имевшиеся на едином счете бюджета Бутурлинского муниципального округа по состоянию на 01.01.2025 года, что в соответствии с нормами ст. 92.1 Бюджетного кодекса РФ позволяет превысить установленный предельный уровень дефицита.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отчетом об исполнении бюджета за 1 полугодие 2025 года, бюджет исполнен с дефицитом в сумме 45 654,1 тыс. руб.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6. </w:t>
      </w:r>
      <w:r>
        <w:rPr>
          <w:rFonts w:eastAsia="Calibri"/>
          <w:sz w:val="26"/>
          <w:szCs w:val="26"/>
        </w:rPr>
        <w:t>По состоянию на 01.07.2025 года Бутурлинский муниципальный округ долговых обязательств не имее</w:t>
      </w:r>
      <w:r>
        <w:rPr>
          <w:rFonts w:eastAsia="Calibri"/>
          <w:color w:val="000000"/>
          <w:sz w:val="26"/>
          <w:szCs w:val="26"/>
        </w:rPr>
        <w:t>т. Информация подтверждена данными Долговой книги Бутурлинского муниципального округа Нижегородской области на 01.07.2025 года.</w:t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Расходы бюджета округа на обслуживание муниципального долга в 1 полугодии 2025 года не осуществлялись в виду отсутствия в отчетном периоде долговых обязательств.</w:t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1 полугодии 2025 года муниципальные гарантии не предоставлялись.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FF3838"/>
        </w:rPr>
      </w:pPr>
      <w:r>
        <w:rPr>
          <w:color w:val="FF3838"/>
        </w:rPr>
      </w:r>
    </w:p>
    <w:p>
      <w:pPr>
        <w:pStyle w:val="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b/>
          <w:color w:val="000000"/>
          <w:sz w:val="26"/>
          <w:szCs w:val="26"/>
        </w:rPr>
        <w:t>Заключение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8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>Представленный Администрацией Бутурлинского муниципального округа отчет об исполнении бюджета Бутурлинского муниципального округа за 1 полугодие 2025 года соответствует требованиям бюджетного законодательства и принятым решениям Совета депутатов Бутурлинского муниципального округа.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cs="Times New Roman"/>
          <w:bCs/>
          <w:i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cs="Times New Roman"/>
          <w:bCs/>
          <w:iCs/>
          <w:color w:val="000000"/>
          <w:sz w:val="26"/>
          <w:szCs w:val="26"/>
        </w:rPr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Контрольно - счетной инспекции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Бутурлинского муниципального округа                                                             Волкова Н.Н.</w:t>
      </w:r>
    </w:p>
    <w:sectPr>
      <w:footerReference w:type="default" r:id="rId2"/>
      <w:type w:val="nextPage"/>
      <w:pgSz w:w="11906" w:h="16838"/>
      <w:pgMar w:left="1134" w:right="851" w:gutter="0" w:header="0" w:top="915" w:footer="338" w:bottom="10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1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041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e75c1d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e75c1d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e75c1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e75c1d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e75c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unhideWhenUsed/>
    <w:qFormat/>
    <w:rsid w:val="00e75c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rsid w:val="00e75c1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Normal"/>
    <w:next w:val="Normal"/>
    <w:link w:val="81"/>
    <w:uiPriority w:val="9"/>
    <w:unhideWhenUsed/>
    <w:qFormat/>
    <w:rsid w:val="00e75c1d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e75c1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uiPriority w:val="9"/>
    <w:qFormat/>
    <w:rsid w:val="00e75c1d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"/>
    <w:qFormat/>
    <w:rsid w:val="00e75c1d"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qFormat/>
    <w:rsid w:val="00e75c1d"/>
    <w:rPr>
      <w:rFonts w:ascii="Calibri" w:hAnsi="Calibri" w:eastAsia="Times New Roman" w:cs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qFormat/>
    <w:rsid w:val="00e75c1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qFormat/>
    <w:rsid w:val="00e75c1d"/>
    <w:rPr>
      <w:rFonts w:ascii="Calibri" w:hAnsi="Calibri" w:eastAsia="Times New Roman" w:cs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sid w:val="00e75c1d"/>
    <w:rPr>
      <w:rFonts w:ascii="Calibri" w:hAnsi="Calibri" w:eastAsia="Times New Roman" w:cs="Times New Roman"/>
      <w:sz w:val="24"/>
      <w:szCs w:val="24"/>
    </w:rPr>
  </w:style>
  <w:style w:type="character" w:styleId="81" w:customStyle="1">
    <w:name w:val="Заголовок 8 Знак"/>
    <w:uiPriority w:val="9"/>
    <w:qFormat/>
    <w:rsid w:val="00e75c1d"/>
    <w:rPr>
      <w:rFonts w:ascii="Calibri" w:hAnsi="Calibri" w:eastAsia="Times New Roman" w:cs="Times New Roman"/>
      <w:i/>
      <w:iCs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f60415"/>
    <w:rPr>
      <w:rFonts w:eastAsia="Times New Roman"/>
      <w:sz w:val="24"/>
      <w:szCs w:val="24"/>
      <w:lang w:eastAsia="ru-RU"/>
    </w:rPr>
  </w:style>
  <w:style w:type="character" w:styleId="Style1" w:customStyle="1">
    <w:name w:val="Основной текст с отступом Знак"/>
    <w:uiPriority w:val="99"/>
    <w:semiHidden/>
    <w:qFormat/>
    <w:rsid w:val="00b7613a"/>
    <w:rPr>
      <w:rFonts w:eastAsia="Times New Roman"/>
      <w:sz w:val="24"/>
      <w:szCs w:val="24"/>
    </w:rPr>
  </w:style>
  <w:style w:type="character" w:styleId="Style2" w:customStyle="1">
    <w:name w:val="Верхний колонтитул Знак"/>
    <w:uiPriority w:val="99"/>
    <w:semiHidden/>
    <w:qFormat/>
    <w:rsid w:val="007f7012"/>
    <w:rPr>
      <w:rFonts w:eastAsia="Times New Roman"/>
      <w:sz w:val="24"/>
      <w:szCs w:val="24"/>
    </w:rPr>
  </w:style>
  <w:style w:type="character" w:styleId="Style3" w:customStyle="1">
    <w:name w:val="Нижний колонтитул Знак"/>
    <w:uiPriority w:val="99"/>
    <w:qFormat/>
    <w:rsid w:val="007f7012"/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d6736d"/>
    <w:rPr>
      <w:rFonts w:ascii="Verdana" w:hAnsi="Verdana"/>
      <w:b/>
      <w:bCs/>
    </w:rPr>
  </w:style>
  <w:style w:type="character" w:styleId="Style4" w:customStyle="1">
    <w:name w:val="Текст выноски Знак"/>
    <w:link w:val="BalloonText"/>
    <w:uiPriority w:val="99"/>
    <w:semiHidden/>
    <w:qFormat/>
    <w:rsid w:val="00d6736d"/>
    <w:rPr>
      <w:rFonts w:ascii="Tahoma" w:hAnsi="Tahoma" w:eastAsia="Times New Roman" w:cs="Tahoma"/>
      <w:sz w:val="16"/>
      <w:szCs w:val="16"/>
    </w:rPr>
  </w:style>
  <w:style w:type="character" w:styleId="Style5" w:customStyle="1">
    <w:name w:val="Основной текст Знак"/>
    <w:uiPriority w:val="99"/>
    <w:semiHidden/>
    <w:qFormat/>
    <w:rsid w:val="00e35b8b"/>
    <w:rPr>
      <w:rFonts w:eastAsia="Times New Roman"/>
      <w:sz w:val="24"/>
      <w:szCs w:val="24"/>
    </w:rPr>
  </w:style>
  <w:style w:type="character" w:styleId="Style6" w:customStyle="1">
    <w:name w:val="Обычный (веб) Знак"/>
    <w:basedOn w:val="DefaultParagraphFont"/>
    <w:link w:val="NormalWeb"/>
    <w:qFormat/>
    <w:locked/>
    <w:rsid w:val="007a7a1e"/>
    <w:rPr>
      <w:rFonts w:eastAsia="Times New Roman"/>
      <w:sz w:val="24"/>
      <w:szCs w:val="24"/>
    </w:rPr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8">
    <w:name w:val="Body Text"/>
    <w:basedOn w:val="Normal"/>
    <w:link w:val="Style5"/>
    <w:uiPriority w:val="99"/>
    <w:semiHidden/>
    <w:unhideWhenUsed/>
    <w:rsid w:val="00e35b8b"/>
    <w:pPr>
      <w:spacing w:before="0" w:after="120"/>
    </w:pPr>
    <w:rPr/>
  </w:style>
  <w:style w:type="paragraph" w:styleId="Style9">
    <w:name w:val="List"/>
    <w:basedOn w:val="Style8"/>
    <w:pPr/>
    <w:rPr>
      <w:rFonts w:cs="Mangal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f60415"/>
    <w:pPr>
      <w:spacing w:lineRule="auto" w:line="480" w:before="0" w:after="120"/>
      <w:ind w:left="283" w:hanging="0"/>
    </w:pPr>
    <w:rPr/>
  </w:style>
  <w:style w:type="paragraph" w:styleId="211" w:customStyle="1">
    <w:name w:val="Основной текст с отступом 21"/>
    <w:basedOn w:val="Normal"/>
    <w:qFormat/>
    <w:rsid w:val="00f60415"/>
    <w:pPr>
      <w:overflowPunct w:val="false"/>
      <w:ind w:firstLine="567"/>
      <w:jc w:val="both"/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f60415"/>
    <w:pPr>
      <w:overflowPunct w:val="false"/>
      <w:jc w:val="center"/>
    </w:pPr>
    <w:rPr>
      <w:b/>
      <w:sz w:val="28"/>
      <w:szCs w:val="20"/>
    </w:rPr>
  </w:style>
  <w:style w:type="paragraph" w:styleId="NoSpacing">
    <w:name w:val="No Spacing"/>
    <w:uiPriority w:val="1"/>
    <w:qFormat/>
    <w:rsid w:val="00e75c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2">
    <w:name w:val="Body Text Indent"/>
    <w:basedOn w:val="Normal"/>
    <w:link w:val="Style1"/>
    <w:uiPriority w:val="99"/>
    <w:semiHidden/>
    <w:unhideWhenUsed/>
    <w:rsid w:val="00b7613a"/>
    <w:pPr>
      <w:spacing w:before="0" w:after="120"/>
      <w:ind w:left="283" w:hanging="0"/>
    </w:pPr>
    <w:rPr/>
  </w:style>
  <w:style w:type="paragraph" w:styleId="NormalWeb">
    <w:name w:val="Normal (Web)"/>
    <w:basedOn w:val="Normal"/>
    <w:link w:val="Style6"/>
    <w:uiPriority w:val="99"/>
    <w:unhideWhenUsed/>
    <w:qFormat/>
    <w:rsid w:val="0040271b"/>
    <w:pPr>
      <w:spacing w:beforeAutospacing="1" w:afterAutospacing="1"/>
    </w:pPr>
    <w:rPr/>
  </w:style>
  <w:style w:type="paragraph" w:styleId="Style13">
    <w:name w:val="Колонтитул"/>
    <w:basedOn w:val="Normal"/>
    <w:qFormat/>
    <w:pPr/>
    <w:rPr/>
  </w:style>
  <w:style w:type="paragraph" w:styleId="Style14">
    <w:name w:val="Header"/>
    <w:basedOn w:val="Normal"/>
    <w:link w:val="Style2"/>
    <w:uiPriority w:val="99"/>
    <w:semiHidden/>
    <w:unhideWhenUsed/>
    <w:rsid w:val="007f70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Footer"/>
    <w:basedOn w:val="Normal"/>
    <w:link w:val="Style3"/>
    <w:uiPriority w:val="99"/>
    <w:unhideWhenUsed/>
    <w:rsid w:val="007f70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4"/>
    <w:uiPriority w:val="99"/>
    <w:semiHidden/>
    <w:unhideWhenUsed/>
    <w:qFormat/>
    <w:rsid w:val="00d6736d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2f07c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04ed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C48D-5E47-428A-933C-B4CD631E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8028</TotalTime>
  <Application>LibreOffice/7.5.0.3$Windows_X86_64 LibreOffice_project/c21113d003cd3efa8c53188764377a8272d9d6de</Application>
  <AppVersion>15.0000</AppVersion>
  <Pages>4</Pages>
  <Words>1706</Words>
  <Characters>10332</Characters>
  <CharactersWithSpaces>12042</CharactersWithSpaces>
  <Paragraphs>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2021-05-19T12:00:00Z</dcterms:created>
  <dc:creator>Admin</dc:creator>
  <dc:description/>
  <dc:language>ru-RU</dc:language>
  <cp:lastModifiedBy/>
  <cp:lastPrinted>2025-08-15T16:02:56Z</cp:lastPrinted>
  <dcterms:modified xsi:type="dcterms:W3CDTF">2026-01-12T11:37:25Z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